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A8" w:rsidRPr="006D2F0A" w:rsidRDefault="008A3073" w:rsidP="00B444A8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0</w:t>
      </w:r>
      <w:r w:rsidR="009009A6">
        <w:rPr>
          <w:b/>
          <w:color w:val="000000" w:themeColor="text1"/>
        </w:rPr>
        <w:t>2</w:t>
      </w:r>
      <w:r>
        <w:rPr>
          <w:b/>
          <w:color w:val="000000" w:themeColor="text1"/>
        </w:rPr>
        <w:t>/</w:t>
      </w:r>
      <w:r w:rsidR="009009A6">
        <w:rPr>
          <w:b/>
          <w:color w:val="000000" w:themeColor="text1"/>
        </w:rPr>
        <w:t>0</w:t>
      </w:r>
      <w:r>
        <w:rPr>
          <w:b/>
          <w:color w:val="000000" w:themeColor="text1"/>
        </w:rPr>
        <w:t>1-202</w:t>
      </w:r>
      <w:r w:rsidR="009009A6">
        <w:rPr>
          <w:b/>
          <w:color w:val="000000" w:themeColor="text1"/>
        </w:rPr>
        <w:t>4</w:t>
      </w:r>
    </w:p>
    <w:p w:rsidR="00B444A8" w:rsidRPr="006D2F0A" w:rsidRDefault="00B444A8">
      <w:pPr>
        <w:rPr>
          <w:b/>
          <w:color w:val="000000" w:themeColor="text1"/>
        </w:rPr>
      </w:pPr>
      <w:r w:rsidRPr="006D2F0A">
        <w:rPr>
          <w:b/>
          <w:color w:val="000000" w:themeColor="text1"/>
        </w:rPr>
        <w:t xml:space="preserve">Kontering af udgifter til kommunal </w:t>
      </w:r>
      <w:r w:rsidR="00E02768" w:rsidRPr="006D2F0A">
        <w:rPr>
          <w:b/>
          <w:color w:val="000000" w:themeColor="text1"/>
        </w:rPr>
        <w:t>fremmedsprogs</w:t>
      </w:r>
      <w:r w:rsidRPr="006D2F0A">
        <w:rPr>
          <w:b/>
          <w:color w:val="000000" w:themeColor="text1"/>
        </w:rPr>
        <w:t>tolkning</w:t>
      </w:r>
    </w:p>
    <w:p w:rsidR="008D3C75" w:rsidRPr="006D2F0A" w:rsidRDefault="00661A9D">
      <w:pPr>
        <w:rPr>
          <w:color w:val="000000" w:themeColor="text1"/>
        </w:rPr>
      </w:pPr>
      <w:r w:rsidRPr="006D2F0A">
        <w:rPr>
          <w:color w:val="000000" w:themeColor="text1"/>
        </w:rPr>
        <w:t xml:space="preserve">Kommunernes udgifter til </w:t>
      </w:r>
      <w:r w:rsidR="00B56F87" w:rsidRPr="006D2F0A">
        <w:rPr>
          <w:color w:val="000000" w:themeColor="text1"/>
        </w:rPr>
        <w:t>fremmedsprogstolkning</w:t>
      </w:r>
      <w:r w:rsidR="00E02768" w:rsidRPr="006D2F0A">
        <w:rPr>
          <w:color w:val="000000" w:themeColor="text1"/>
        </w:rPr>
        <w:t xml:space="preserve"> </w:t>
      </w:r>
      <w:r w:rsidRPr="006D2F0A">
        <w:rPr>
          <w:color w:val="000000" w:themeColor="text1"/>
        </w:rPr>
        <w:t xml:space="preserve">til udlændinge </w:t>
      </w:r>
      <w:r w:rsidR="00E05DAE" w:rsidRPr="006D2F0A">
        <w:rPr>
          <w:color w:val="000000" w:themeColor="text1"/>
        </w:rPr>
        <w:t>fordeler sig over flere forskellige forvaltningsområder i kommune</w:t>
      </w:r>
      <w:r w:rsidR="00917A48">
        <w:rPr>
          <w:color w:val="000000" w:themeColor="text1"/>
        </w:rPr>
        <w:t>r</w:t>
      </w:r>
      <w:r w:rsidR="00E05DAE" w:rsidRPr="006D2F0A">
        <w:rPr>
          <w:color w:val="000000" w:themeColor="text1"/>
        </w:rPr>
        <w:t>n</w:t>
      </w:r>
      <w:r w:rsidR="00917A48">
        <w:rPr>
          <w:color w:val="000000" w:themeColor="text1"/>
        </w:rPr>
        <w:t>e</w:t>
      </w:r>
      <w:r w:rsidRPr="006D2F0A">
        <w:rPr>
          <w:color w:val="000000" w:themeColor="text1"/>
        </w:rPr>
        <w:t xml:space="preserve">. </w:t>
      </w:r>
      <w:r w:rsidR="00E05DAE" w:rsidRPr="006D2F0A">
        <w:rPr>
          <w:color w:val="000000" w:themeColor="text1"/>
        </w:rPr>
        <w:t xml:space="preserve"> </w:t>
      </w:r>
    </w:p>
    <w:p w:rsidR="00E02768" w:rsidRPr="006D2F0A" w:rsidRDefault="00661A9D">
      <w:pPr>
        <w:rPr>
          <w:color w:val="000000" w:themeColor="text1"/>
        </w:rPr>
      </w:pPr>
      <w:r w:rsidRPr="006D2F0A">
        <w:rPr>
          <w:color w:val="000000" w:themeColor="text1"/>
        </w:rPr>
        <w:t xml:space="preserve">Der er ingen samlet registrering af udgifterne til tolkning, da udgifterne til tolkning som udgangspunkt registreres </w:t>
      </w:r>
      <w:r w:rsidR="00035CA3" w:rsidRPr="006D2F0A">
        <w:rPr>
          <w:color w:val="000000" w:themeColor="text1"/>
        </w:rPr>
        <w:t xml:space="preserve">på de kontogrupper, som hører </w:t>
      </w:r>
      <w:r w:rsidRPr="006D2F0A">
        <w:rPr>
          <w:color w:val="000000" w:themeColor="text1"/>
        </w:rPr>
        <w:t>under de forvaltningsområder, som tolkningen vedrører.</w:t>
      </w:r>
    </w:p>
    <w:p w:rsidR="00661A9D" w:rsidRPr="006D2F0A" w:rsidRDefault="00661A9D">
      <w:pPr>
        <w:rPr>
          <w:color w:val="000000" w:themeColor="text1"/>
        </w:rPr>
      </w:pPr>
      <w:r w:rsidRPr="006D2F0A">
        <w:rPr>
          <w:color w:val="000000" w:themeColor="text1"/>
        </w:rPr>
        <w:t>Udgifter til tolkning ifm</w:t>
      </w:r>
      <w:r w:rsidR="00E02768" w:rsidRPr="006D2F0A">
        <w:rPr>
          <w:color w:val="000000" w:themeColor="text1"/>
        </w:rPr>
        <w:t>.</w:t>
      </w:r>
      <w:r w:rsidR="009F1EA6" w:rsidRPr="006D2F0A">
        <w:rPr>
          <w:color w:val="000000" w:themeColor="text1"/>
        </w:rPr>
        <w:t xml:space="preserve"> fx</w:t>
      </w:r>
      <w:r w:rsidRPr="006D2F0A">
        <w:rPr>
          <w:color w:val="000000" w:themeColor="text1"/>
        </w:rPr>
        <w:t xml:space="preserve"> skole-hjem</w:t>
      </w:r>
      <w:r w:rsidR="00C0645F" w:rsidRPr="006D2F0A">
        <w:rPr>
          <w:color w:val="000000" w:themeColor="text1"/>
        </w:rPr>
        <w:t>-</w:t>
      </w:r>
      <w:r w:rsidRPr="006D2F0A">
        <w:rPr>
          <w:color w:val="000000" w:themeColor="text1"/>
        </w:rPr>
        <w:t>samtaler registreres således på skoleområdet</w:t>
      </w:r>
      <w:r w:rsidR="00C0645F" w:rsidRPr="006D2F0A">
        <w:rPr>
          <w:color w:val="000000" w:themeColor="text1"/>
        </w:rPr>
        <w:t>,</w:t>
      </w:r>
      <w:r w:rsidR="00B444A8" w:rsidRPr="006D2F0A">
        <w:rPr>
          <w:color w:val="000000" w:themeColor="text1"/>
        </w:rPr>
        <w:t xml:space="preserve"> og tolkning ifm</w:t>
      </w:r>
      <w:r w:rsidR="00E02768" w:rsidRPr="006D2F0A">
        <w:rPr>
          <w:color w:val="000000" w:themeColor="text1"/>
        </w:rPr>
        <w:t>.</w:t>
      </w:r>
      <w:r w:rsidR="00B444A8" w:rsidRPr="006D2F0A">
        <w:rPr>
          <w:color w:val="000000" w:themeColor="text1"/>
        </w:rPr>
        <w:t xml:space="preserve"> børnetandpleje registreres som en kommunal sundhedsudgift.</w:t>
      </w:r>
      <w:bookmarkStart w:id="0" w:name="_GoBack"/>
      <w:bookmarkEnd w:id="0"/>
    </w:p>
    <w:p w:rsidR="00035CA3" w:rsidRPr="006D2F0A" w:rsidRDefault="00B444A8" w:rsidP="00BE6C3A">
      <w:pPr>
        <w:rPr>
          <w:color w:val="000000" w:themeColor="text1"/>
        </w:rPr>
      </w:pPr>
      <w:r w:rsidRPr="006D2F0A">
        <w:rPr>
          <w:color w:val="000000" w:themeColor="text1"/>
        </w:rPr>
        <w:t xml:space="preserve">Det er i budget- og regnskabssystemet for kommuner </w:t>
      </w:r>
      <w:r w:rsidR="00BE6C3A" w:rsidRPr="006D2F0A">
        <w:rPr>
          <w:color w:val="000000" w:themeColor="text1"/>
        </w:rPr>
        <w:t xml:space="preserve">autoriseret en gruppering for udgifter til tolkning i forbindelse med den </w:t>
      </w:r>
      <w:r w:rsidR="00BE6C3A" w:rsidRPr="006D2F0A">
        <w:rPr>
          <w:color w:val="000000" w:themeColor="text1"/>
          <w:u w:val="single"/>
        </w:rPr>
        <w:t>generelle vejlednings</w:t>
      </w:r>
      <w:r w:rsidR="00BE6C3A" w:rsidRPr="006D2F0A">
        <w:rPr>
          <w:color w:val="000000" w:themeColor="text1"/>
          <w:u w:val="single"/>
        </w:rPr>
        <w:softHyphen/>
        <w:t>forpligtelse</w:t>
      </w:r>
      <w:r w:rsidR="00BE6C3A" w:rsidRPr="006D2F0A">
        <w:rPr>
          <w:color w:val="000000" w:themeColor="text1"/>
        </w:rPr>
        <w:t xml:space="preserve"> vedrørende personer omfattet af integrationsloven (</w:t>
      </w:r>
      <w:r w:rsidR="00BF3ED6" w:rsidRPr="006D2F0A">
        <w:rPr>
          <w:color w:val="000000" w:themeColor="text1"/>
        </w:rPr>
        <w:t xml:space="preserve">funktion </w:t>
      </w:r>
      <w:r w:rsidR="00BE6C3A" w:rsidRPr="006D2F0A">
        <w:rPr>
          <w:color w:val="000000" w:themeColor="text1"/>
        </w:rPr>
        <w:t xml:space="preserve">5.46.60, </w:t>
      </w:r>
      <w:proofErr w:type="spellStart"/>
      <w:r w:rsidR="00BE6C3A" w:rsidRPr="006D2F0A">
        <w:rPr>
          <w:color w:val="000000" w:themeColor="text1"/>
        </w:rPr>
        <w:t>grp</w:t>
      </w:r>
      <w:proofErr w:type="spellEnd"/>
      <w:r w:rsidR="00BE6C3A" w:rsidRPr="006D2F0A">
        <w:rPr>
          <w:color w:val="000000" w:themeColor="text1"/>
        </w:rPr>
        <w:t xml:space="preserve">. </w:t>
      </w:r>
      <w:r w:rsidR="00C0645F" w:rsidRPr="006D2F0A">
        <w:rPr>
          <w:color w:val="000000" w:themeColor="text1"/>
        </w:rPr>
        <w:t>0</w:t>
      </w:r>
      <w:r w:rsidR="00BE6C3A" w:rsidRPr="006D2F0A">
        <w:rPr>
          <w:color w:val="000000" w:themeColor="text1"/>
        </w:rPr>
        <w:t>14</w:t>
      </w:r>
      <w:r w:rsidR="00BF3ED6" w:rsidRPr="006D2F0A">
        <w:rPr>
          <w:color w:val="000000" w:themeColor="text1"/>
        </w:rPr>
        <w:t xml:space="preserve"> Tolke</w:t>
      </w:r>
      <w:r w:rsidR="00BE6C3A" w:rsidRPr="006D2F0A">
        <w:rPr>
          <w:color w:val="000000" w:themeColor="text1"/>
        </w:rPr>
        <w:t xml:space="preserve">). </w:t>
      </w:r>
    </w:p>
    <w:p w:rsidR="00FE4105" w:rsidRPr="006D2F0A" w:rsidRDefault="00BE6C3A" w:rsidP="00BE6C3A">
      <w:pPr>
        <w:rPr>
          <w:color w:val="000000" w:themeColor="text1"/>
        </w:rPr>
      </w:pPr>
      <w:r w:rsidRPr="006D2F0A">
        <w:rPr>
          <w:color w:val="000000" w:themeColor="text1"/>
        </w:rPr>
        <w:t>Udgifterne til tolkning ifm</w:t>
      </w:r>
      <w:r w:rsidR="00E02768" w:rsidRPr="006D2F0A">
        <w:rPr>
          <w:color w:val="000000" w:themeColor="text1"/>
        </w:rPr>
        <w:t>.</w:t>
      </w:r>
      <w:r w:rsidRPr="006D2F0A">
        <w:rPr>
          <w:color w:val="000000" w:themeColor="text1"/>
        </w:rPr>
        <w:t xml:space="preserve"> </w:t>
      </w:r>
      <w:r w:rsidR="00C0645F" w:rsidRPr="006D2F0A">
        <w:rPr>
          <w:color w:val="000000" w:themeColor="text1"/>
        </w:rPr>
        <w:t xml:space="preserve">en </w:t>
      </w:r>
      <w:r w:rsidR="008501BD" w:rsidRPr="006D2F0A">
        <w:rPr>
          <w:color w:val="000000" w:themeColor="text1"/>
        </w:rPr>
        <w:t>konkret</w:t>
      </w:r>
      <w:r w:rsidRPr="006D2F0A">
        <w:rPr>
          <w:color w:val="000000" w:themeColor="text1"/>
        </w:rPr>
        <w:t xml:space="preserve"> foranstaltning i medfør af integrat</w:t>
      </w:r>
      <w:r w:rsidR="008501BD" w:rsidRPr="006D2F0A">
        <w:rPr>
          <w:color w:val="000000" w:themeColor="text1"/>
        </w:rPr>
        <w:t>i</w:t>
      </w:r>
      <w:r w:rsidRPr="006D2F0A">
        <w:rPr>
          <w:color w:val="000000" w:themeColor="text1"/>
        </w:rPr>
        <w:t>onsloven konteres derimod sammen med den pågældende foranstaltning. Således skal udgifter til tolkning ifm</w:t>
      </w:r>
      <w:r w:rsidR="00E02768" w:rsidRPr="006D2F0A">
        <w:rPr>
          <w:color w:val="000000" w:themeColor="text1"/>
        </w:rPr>
        <w:t>.</w:t>
      </w:r>
      <w:r w:rsidRPr="006D2F0A">
        <w:rPr>
          <w:color w:val="000000" w:themeColor="text1"/>
        </w:rPr>
        <w:t xml:space="preserve"> </w:t>
      </w:r>
      <w:r w:rsidR="008501BD" w:rsidRPr="006D2F0A">
        <w:rPr>
          <w:color w:val="000000" w:themeColor="text1"/>
        </w:rPr>
        <w:t xml:space="preserve">aktive tilbud i medfør af integrationsloven (fx virksomhedspraktik eller undervisning) konteres under </w:t>
      </w:r>
      <w:r w:rsidR="00BF3ED6" w:rsidRPr="006D2F0A">
        <w:rPr>
          <w:color w:val="000000" w:themeColor="text1"/>
        </w:rPr>
        <w:t xml:space="preserve">funktion </w:t>
      </w:r>
      <w:r w:rsidR="008501BD" w:rsidRPr="006D2F0A">
        <w:rPr>
          <w:color w:val="000000" w:themeColor="text1"/>
        </w:rPr>
        <w:t xml:space="preserve">5.46.60, </w:t>
      </w:r>
      <w:proofErr w:type="spellStart"/>
      <w:r w:rsidR="008501BD" w:rsidRPr="006D2F0A">
        <w:rPr>
          <w:color w:val="000000" w:themeColor="text1"/>
        </w:rPr>
        <w:t>grp</w:t>
      </w:r>
      <w:proofErr w:type="spellEnd"/>
      <w:r w:rsidR="00BF3ED6" w:rsidRPr="006D2F0A">
        <w:rPr>
          <w:color w:val="000000" w:themeColor="text1"/>
        </w:rPr>
        <w:t>.</w:t>
      </w:r>
      <w:r w:rsidR="008501BD" w:rsidRPr="006D2F0A">
        <w:rPr>
          <w:color w:val="000000" w:themeColor="text1"/>
        </w:rPr>
        <w:t xml:space="preserve"> </w:t>
      </w:r>
      <w:r w:rsidR="00BF3ED6" w:rsidRPr="006D2F0A">
        <w:rPr>
          <w:color w:val="000000" w:themeColor="text1"/>
        </w:rPr>
        <w:t>00</w:t>
      </w:r>
      <w:r w:rsidR="008501BD" w:rsidRPr="006D2F0A">
        <w:rPr>
          <w:color w:val="000000" w:themeColor="text1"/>
        </w:rPr>
        <w:t>1-</w:t>
      </w:r>
      <w:r w:rsidR="00BF3ED6" w:rsidRPr="006D2F0A">
        <w:rPr>
          <w:color w:val="000000" w:themeColor="text1"/>
        </w:rPr>
        <w:t>00</w:t>
      </w:r>
      <w:r w:rsidR="008501BD" w:rsidRPr="006D2F0A">
        <w:rPr>
          <w:color w:val="000000" w:themeColor="text1"/>
        </w:rPr>
        <w:t>2</w:t>
      </w:r>
      <w:r w:rsidR="00FE4105" w:rsidRPr="006D2F0A">
        <w:rPr>
          <w:color w:val="000000" w:themeColor="text1"/>
        </w:rPr>
        <w:t>.</w:t>
      </w:r>
    </w:p>
    <w:p w:rsidR="00917A48" w:rsidRDefault="00FE4105" w:rsidP="009009A6">
      <w:pPr>
        <w:rPr>
          <w:color w:val="000000" w:themeColor="text1"/>
        </w:rPr>
      </w:pPr>
      <w:r w:rsidRPr="006D2F0A">
        <w:rPr>
          <w:color w:val="000000" w:themeColor="text1"/>
        </w:rPr>
        <w:t>U</w:t>
      </w:r>
      <w:r w:rsidR="008501BD" w:rsidRPr="006D2F0A">
        <w:rPr>
          <w:color w:val="000000" w:themeColor="text1"/>
        </w:rPr>
        <w:t>dgifter til tolkning ifm</w:t>
      </w:r>
      <w:r w:rsidR="00E02768" w:rsidRPr="006D2F0A">
        <w:rPr>
          <w:color w:val="000000" w:themeColor="text1"/>
        </w:rPr>
        <w:t>.</w:t>
      </w:r>
      <w:r w:rsidR="008501BD" w:rsidRPr="006D2F0A">
        <w:rPr>
          <w:color w:val="000000" w:themeColor="text1"/>
        </w:rPr>
        <w:t xml:space="preserve"> myndighedsafgørelser i jobcentret om ydelse</w:t>
      </w:r>
      <w:r w:rsidR="008A3073">
        <w:rPr>
          <w:color w:val="000000" w:themeColor="text1"/>
        </w:rPr>
        <w:t>, tilbud</w:t>
      </w:r>
      <w:r w:rsidR="008501BD" w:rsidRPr="006D2F0A">
        <w:rPr>
          <w:color w:val="000000" w:themeColor="text1"/>
        </w:rPr>
        <w:t xml:space="preserve"> eller sanktioner</w:t>
      </w:r>
      <w:r w:rsidR="009009A6">
        <w:rPr>
          <w:color w:val="000000" w:themeColor="text1"/>
        </w:rPr>
        <w:t xml:space="preserve"> mv.</w:t>
      </w:r>
      <w:r w:rsidR="008501BD" w:rsidRPr="006D2F0A">
        <w:rPr>
          <w:color w:val="000000" w:themeColor="text1"/>
        </w:rPr>
        <w:t xml:space="preserve"> konteres under funktion 6.45.53 </w:t>
      </w:r>
      <w:r w:rsidR="007F097C" w:rsidRPr="006D2F0A">
        <w:rPr>
          <w:color w:val="000000" w:themeColor="text1"/>
        </w:rPr>
        <w:t xml:space="preserve">Administration vedr. </w:t>
      </w:r>
      <w:r w:rsidR="008501BD" w:rsidRPr="006D2F0A">
        <w:rPr>
          <w:color w:val="000000" w:themeColor="text1"/>
        </w:rPr>
        <w:t>jobcent</w:t>
      </w:r>
      <w:r w:rsidR="007F097C" w:rsidRPr="006D2F0A">
        <w:rPr>
          <w:color w:val="000000" w:themeColor="text1"/>
        </w:rPr>
        <w:t>re</w:t>
      </w:r>
      <w:r w:rsidR="009009A6">
        <w:rPr>
          <w:color w:val="000000" w:themeColor="text1"/>
        </w:rPr>
        <w:t xml:space="preserve">. </w:t>
      </w:r>
      <w:r w:rsidR="009009A6" w:rsidRPr="00A47867">
        <w:rPr>
          <w:color w:val="000000" w:themeColor="text1"/>
        </w:rPr>
        <w:t xml:space="preserve">Det bemærkes dog, at udgifter til tolkning i forbindelse med den generelle vejledningsforpligtelse vedrørende personer omfattet af integrationsloven konteres under funktion 5.46.60, </w:t>
      </w:r>
      <w:proofErr w:type="spellStart"/>
      <w:r w:rsidR="009009A6" w:rsidRPr="00A47867">
        <w:rPr>
          <w:color w:val="000000" w:themeColor="text1"/>
        </w:rPr>
        <w:t>grp</w:t>
      </w:r>
      <w:proofErr w:type="spellEnd"/>
      <w:r w:rsidR="009009A6" w:rsidRPr="00A47867">
        <w:rPr>
          <w:color w:val="000000" w:themeColor="text1"/>
        </w:rPr>
        <w:t xml:space="preserve">. 014 Tolke, jf. ovenfor. </w:t>
      </w:r>
    </w:p>
    <w:p w:rsidR="009009A6" w:rsidRPr="00A47867" w:rsidRDefault="009009A6" w:rsidP="009009A6">
      <w:pPr>
        <w:rPr>
          <w:color w:val="000000" w:themeColor="text1"/>
        </w:rPr>
      </w:pPr>
      <w:r w:rsidRPr="00A47867">
        <w:rPr>
          <w:color w:val="000000" w:themeColor="text1"/>
        </w:rPr>
        <w:t>Udgifter til tolkning ifm. med myndighedsafgørelser (ydelser og afgørelser) efter serviceloven</w:t>
      </w:r>
      <w:r w:rsidR="00917A48">
        <w:rPr>
          <w:color w:val="000000" w:themeColor="text1"/>
        </w:rPr>
        <w:t xml:space="preserve"> og barnets lov</w:t>
      </w:r>
      <w:r w:rsidRPr="00A47867">
        <w:rPr>
          <w:color w:val="000000" w:themeColor="text1"/>
        </w:rPr>
        <w:t>, konteres under funktion 6.45.57 og 6.45.58. Udgifter vedr. øvrige myndighedsafgørelser konteres på funktion 6.45.51, jf. bilag 1</w:t>
      </w:r>
      <w:r w:rsidR="00917A48">
        <w:rPr>
          <w:color w:val="000000" w:themeColor="text1"/>
        </w:rPr>
        <w:t>,</w:t>
      </w:r>
      <w:r w:rsidRPr="00A47867">
        <w:rPr>
          <w:color w:val="000000" w:themeColor="text1"/>
        </w:rPr>
        <w:t xml:space="preserve"> hvor uddrag fra konteringsreglerne i det kommunale budget- og regnskabssystem er vist.</w:t>
      </w:r>
    </w:p>
    <w:p w:rsidR="00932D01" w:rsidRPr="006D2F0A" w:rsidRDefault="00E02768" w:rsidP="00917A48">
      <w:pPr>
        <w:spacing w:after="0" w:line="240" w:lineRule="auto"/>
        <w:rPr>
          <w:b/>
          <w:color w:val="000000" w:themeColor="text1"/>
        </w:rPr>
      </w:pPr>
      <w:r w:rsidRPr="006D2F0A">
        <w:rPr>
          <w:b/>
          <w:color w:val="000000" w:themeColor="text1"/>
        </w:rPr>
        <w:t>Tabel -</w:t>
      </w:r>
      <w:r w:rsidR="009F1EA6" w:rsidRPr="006D2F0A">
        <w:rPr>
          <w:b/>
          <w:color w:val="000000" w:themeColor="text1"/>
        </w:rPr>
        <w:t xml:space="preserve"> </w:t>
      </w:r>
      <w:r w:rsidR="00BE6C3A" w:rsidRPr="006D2F0A">
        <w:rPr>
          <w:b/>
          <w:color w:val="000000" w:themeColor="text1"/>
        </w:rPr>
        <w:t xml:space="preserve">Eksempel på </w:t>
      </w:r>
      <w:r w:rsidR="008501BD" w:rsidRPr="006D2F0A">
        <w:rPr>
          <w:b/>
          <w:color w:val="000000" w:themeColor="text1"/>
        </w:rPr>
        <w:t xml:space="preserve">kontering af </w:t>
      </w:r>
      <w:r w:rsidR="009F1EA6" w:rsidRPr="006D2F0A">
        <w:rPr>
          <w:b/>
          <w:color w:val="000000" w:themeColor="text1"/>
        </w:rPr>
        <w:t xml:space="preserve">kommunale </w:t>
      </w:r>
      <w:r w:rsidR="008501BD" w:rsidRPr="006D2F0A">
        <w:rPr>
          <w:b/>
          <w:color w:val="000000" w:themeColor="text1"/>
        </w:rPr>
        <w:t xml:space="preserve">udgifter til </w:t>
      </w:r>
      <w:r w:rsidR="009F1EA6" w:rsidRPr="006D2F0A">
        <w:rPr>
          <w:b/>
          <w:color w:val="000000" w:themeColor="text1"/>
        </w:rPr>
        <w:t>fremmedsprogs</w:t>
      </w:r>
      <w:r w:rsidR="008501BD" w:rsidRPr="006D2F0A">
        <w:rPr>
          <w:b/>
          <w:color w:val="000000" w:themeColor="text1"/>
        </w:rPr>
        <w:t>tolkning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2977"/>
      </w:tblGrid>
      <w:tr w:rsidR="006D2F0A" w:rsidRPr="006D2F0A" w:rsidTr="009F1EA6"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6D2F0A" w:rsidRDefault="000A63F1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>Eksempel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6D2F0A" w:rsidRDefault="000A63F1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>Kontering</w:t>
            </w:r>
          </w:p>
        </w:tc>
      </w:tr>
      <w:tr w:rsidR="006D2F0A" w:rsidRPr="006D2F0A" w:rsidTr="009F1EA6"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1BD" w:rsidRPr="006D2F0A" w:rsidRDefault="008501BD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 xml:space="preserve">Tolkning i forbindelse med aktive tilbud efter integrationslovens § 23a og § 23b. Fx tolkning </w:t>
            </w:r>
            <w:r w:rsidR="00040FEC" w:rsidRPr="006D2F0A">
              <w:rPr>
                <w:color w:val="000000" w:themeColor="text1"/>
              </w:rPr>
              <w:t xml:space="preserve">der sker i forbindelse med en </w:t>
            </w:r>
            <w:r w:rsidRPr="006D2F0A">
              <w:rPr>
                <w:color w:val="000000" w:themeColor="text1"/>
              </w:rPr>
              <w:t>virksomhedspraktik</w:t>
            </w:r>
            <w:r w:rsidR="00D32005" w:rsidRPr="006D2F0A">
              <w:rPr>
                <w:color w:val="000000" w:themeColor="text1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1BD" w:rsidRPr="006D2F0A" w:rsidRDefault="008501BD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 xml:space="preserve">Konteres som udgifterne til tilbuddet, 5.46.60, </w:t>
            </w:r>
            <w:proofErr w:type="spellStart"/>
            <w:r w:rsidRPr="006D2F0A">
              <w:rPr>
                <w:color w:val="000000" w:themeColor="text1"/>
              </w:rPr>
              <w:t>gr</w:t>
            </w:r>
            <w:r w:rsidR="00FE4105" w:rsidRPr="006D2F0A">
              <w:rPr>
                <w:color w:val="000000" w:themeColor="text1"/>
              </w:rPr>
              <w:t>p</w:t>
            </w:r>
            <w:proofErr w:type="spellEnd"/>
            <w:r w:rsidRPr="006D2F0A">
              <w:rPr>
                <w:color w:val="000000" w:themeColor="text1"/>
              </w:rPr>
              <w:t xml:space="preserve">. </w:t>
            </w:r>
            <w:r w:rsidR="00FE4105" w:rsidRPr="006D2F0A">
              <w:rPr>
                <w:color w:val="000000" w:themeColor="text1"/>
              </w:rPr>
              <w:t>00</w:t>
            </w:r>
            <w:r w:rsidRPr="006D2F0A">
              <w:rPr>
                <w:color w:val="000000" w:themeColor="text1"/>
              </w:rPr>
              <w:t>1-</w:t>
            </w:r>
            <w:r w:rsidR="00FE4105" w:rsidRPr="006D2F0A">
              <w:rPr>
                <w:color w:val="000000" w:themeColor="text1"/>
              </w:rPr>
              <w:t>00</w:t>
            </w:r>
            <w:r w:rsidRPr="006D2F0A">
              <w:rPr>
                <w:color w:val="000000" w:themeColor="text1"/>
              </w:rPr>
              <w:t xml:space="preserve">2 </w:t>
            </w:r>
          </w:p>
        </w:tc>
      </w:tr>
      <w:tr w:rsidR="008A3073" w:rsidRPr="006D2F0A" w:rsidTr="009F1EA6"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73" w:rsidRPr="006D2F0A" w:rsidRDefault="008A3073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>Tolkning i forbindelse med aktive tilbud efter integrationslovens § 2</w:t>
            </w:r>
            <w:r>
              <w:rPr>
                <w:color w:val="000000" w:themeColor="text1"/>
              </w:rPr>
              <w:t>3a</w:t>
            </w:r>
            <w:r w:rsidRPr="006D2F0A">
              <w:rPr>
                <w:color w:val="000000" w:themeColor="text1"/>
              </w:rPr>
              <w:t xml:space="preserve"> og § 23b</w:t>
            </w:r>
            <w:r>
              <w:rPr>
                <w:color w:val="000000" w:themeColor="text1"/>
              </w:rPr>
              <w:t xml:space="preserve"> </w:t>
            </w:r>
            <w:r w:rsidRPr="00A47867">
              <w:rPr>
                <w:color w:val="000000" w:themeColor="text1"/>
                <w:u w:val="single"/>
              </w:rPr>
              <w:t>for selvforsørgede</w:t>
            </w:r>
            <w:r w:rsidRPr="006D2F0A">
              <w:rPr>
                <w:color w:val="000000" w:themeColor="text1"/>
              </w:rPr>
              <w:t>. Fx tolkning der sker i forbindelse med en virksomhedspraktik</w:t>
            </w:r>
            <w:r>
              <w:rPr>
                <w:color w:val="000000" w:themeColor="text1"/>
              </w:rPr>
              <w:t xml:space="preserve"> for selvforsørget</w:t>
            </w:r>
            <w:r w:rsidRPr="006D2F0A">
              <w:rPr>
                <w:color w:val="000000" w:themeColor="text1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73" w:rsidRPr="006D2F0A" w:rsidRDefault="008A3073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 xml:space="preserve">Konteres som udgifterne til tilbuddet, 5.46.60, </w:t>
            </w:r>
            <w:proofErr w:type="spellStart"/>
            <w:r w:rsidRPr="006D2F0A">
              <w:rPr>
                <w:color w:val="000000" w:themeColor="text1"/>
              </w:rPr>
              <w:t>grp</w:t>
            </w:r>
            <w:proofErr w:type="spellEnd"/>
            <w:r w:rsidRPr="006D2F0A">
              <w:rPr>
                <w:color w:val="000000" w:themeColor="text1"/>
              </w:rPr>
              <w:t>. 00</w:t>
            </w:r>
            <w:r>
              <w:rPr>
                <w:color w:val="000000" w:themeColor="text1"/>
              </w:rPr>
              <w:t>5</w:t>
            </w:r>
            <w:r w:rsidRPr="006D2F0A">
              <w:rPr>
                <w:color w:val="000000" w:themeColor="text1"/>
              </w:rPr>
              <w:t>-00</w:t>
            </w:r>
            <w:r>
              <w:rPr>
                <w:color w:val="000000" w:themeColor="text1"/>
              </w:rPr>
              <w:t>6</w:t>
            </w:r>
          </w:p>
        </w:tc>
      </w:tr>
      <w:tr w:rsidR="006D2F0A" w:rsidRPr="006D2F0A" w:rsidTr="009F1EA6"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1BD" w:rsidRPr="006D2F0A" w:rsidRDefault="008501BD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 xml:space="preserve">Tolkning i forbindelse med den </w:t>
            </w:r>
            <w:r w:rsidRPr="00A47867">
              <w:rPr>
                <w:color w:val="000000" w:themeColor="text1"/>
                <w:u w:val="single"/>
              </w:rPr>
              <w:t xml:space="preserve">generelle vejledningsforpligtelse for personer omfattet af integrationsloven </w:t>
            </w:r>
            <w:r w:rsidRPr="006D2F0A">
              <w:rPr>
                <w:color w:val="000000" w:themeColor="text1"/>
              </w:rPr>
              <w:t>(fx tolkning ifm</w:t>
            </w:r>
            <w:r w:rsidR="00E02768" w:rsidRPr="006D2F0A">
              <w:rPr>
                <w:color w:val="000000" w:themeColor="text1"/>
              </w:rPr>
              <w:t>.</w:t>
            </w:r>
            <w:r w:rsidRPr="006D2F0A">
              <w:rPr>
                <w:color w:val="000000" w:themeColor="text1"/>
              </w:rPr>
              <w:t xml:space="preserve"> modtagelse, husning, vejledning om program)</w:t>
            </w:r>
            <w:r w:rsidR="00D9495F" w:rsidRPr="006D2F0A">
              <w:rPr>
                <w:color w:val="000000" w:themeColor="text1"/>
              </w:rPr>
              <w:t>.</w:t>
            </w:r>
            <w:r w:rsidRPr="006D2F0A">
              <w:rPr>
                <w:color w:val="000000" w:themeColor="text1"/>
              </w:rPr>
              <w:t xml:space="preserve"> </w:t>
            </w:r>
            <w:r w:rsidR="00D9495F" w:rsidRPr="006D2F0A">
              <w:rPr>
                <w:color w:val="000000" w:themeColor="text1"/>
              </w:rPr>
              <w:t>O</w:t>
            </w:r>
            <w:r w:rsidRPr="006D2F0A">
              <w:rPr>
                <w:color w:val="000000" w:themeColor="text1"/>
              </w:rPr>
              <w:t>mfatter udgifter i de første 5 år</w:t>
            </w:r>
            <w:r w:rsidR="00D32005" w:rsidRPr="006D2F0A">
              <w:rPr>
                <w:color w:val="000000" w:themeColor="text1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1BD" w:rsidRPr="006D2F0A" w:rsidRDefault="008501BD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 xml:space="preserve">5.46.60, </w:t>
            </w:r>
            <w:proofErr w:type="spellStart"/>
            <w:r w:rsidRPr="006D2F0A">
              <w:rPr>
                <w:color w:val="000000" w:themeColor="text1"/>
              </w:rPr>
              <w:t>gr</w:t>
            </w:r>
            <w:r w:rsidR="00FE4105" w:rsidRPr="006D2F0A">
              <w:rPr>
                <w:color w:val="000000" w:themeColor="text1"/>
              </w:rPr>
              <w:t>p</w:t>
            </w:r>
            <w:proofErr w:type="spellEnd"/>
            <w:r w:rsidRPr="006D2F0A">
              <w:rPr>
                <w:color w:val="000000" w:themeColor="text1"/>
              </w:rPr>
              <w:t xml:space="preserve">. </w:t>
            </w:r>
            <w:r w:rsidR="00FE4105" w:rsidRPr="006D2F0A">
              <w:rPr>
                <w:color w:val="000000" w:themeColor="text1"/>
              </w:rPr>
              <w:t>0</w:t>
            </w:r>
            <w:r w:rsidRPr="006D2F0A">
              <w:rPr>
                <w:color w:val="000000" w:themeColor="text1"/>
              </w:rPr>
              <w:t>14</w:t>
            </w:r>
          </w:p>
        </w:tc>
      </w:tr>
      <w:tr w:rsidR="006D2F0A" w:rsidRPr="006D2F0A" w:rsidTr="009F1EA6"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1BD" w:rsidRPr="006D2F0A" w:rsidRDefault="008501BD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>Tolkning ifm</w:t>
            </w:r>
            <w:r w:rsidR="00E02768" w:rsidRPr="006D2F0A">
              <w:rPr>
                <w:color w:val="000000" w:themeColor="text1"/>
              </w:rPr>
              <w:t>.</w:t>
            </w:r>
            <w:r w:rsidRPr="006D2F0A">
              <w:rPr>
                <w:color w:val="000000" w:themeColor="text1"/>
              </w:rPr>
              <w:t xml:space="preserve"> dagtilbud og samtaler med forældre</w:t>
            </w:r>
            <w:r w:rsidR="00D32005" w:rsidRPr="006D2F0A">
              <w:rPr>
                <w:color w:val="000000" w:themeColor="text1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1BD" w:rsidRPr="006D2F0A" w:rsidRDefault="008501BD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>Konteres under tilbuddet</w:t>
            </w:r>
          </w:p>
        </w:tc>
      </w:tr>
      <w:tr w:rsidR="006D2F0A" w:rsidRPr="006D2F0A" w:rsidTr="009F1EA6"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1BD" w:rsidRPr="006D2F0A" w:rsidRDefault="008501BD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>Tolkning ifm</w:t>
            </w:r>
            <w:r w:rsidR="00E02768" w:rsidRPr="006D2F0A">
              <w:rPr>
                <w:color w:val="000000" w:themeColor="text1"/>
              </w:rPr>
              <w:t>.</w:t>
            </w:r>
            <w:r w:rsidRPr="006D2F0A">
              <w:rPr>
                <w:color w:val="000000" w:themeColor="text1"/>
              </w:rPr>
              <w:t xml:space="preserve"> skolestart og samtaler med forældre</w:t>
            </w:r>
            <w:r w:rsidR="00D32005" w:rsidRPr="006D2F0A">
              <w:rPr>
                <w:color w:val="000000" w:themeColor="text1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1BD" w:rsidRPr="006D2F0A" w:rsidRDefault="008501BD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>Konteres under folkeskole</w:t>
            </w:r>
          </w:p>
        </w:tc>
      </w:tr>
      <w:tr w:rsidR="006D2F0A" w:rsidRPr="006D2F0A" w:rsidTr="009F1EA6"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1BD" w:rsidRPr="006D2F0A" w:rsidRDefault="008501BD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>Myndighedsafgørelse på Jobcenter om ydelse</w:t>
            </w:r>
            <w:r w:rsidR="009009A6">
              <w:rPr>
                <w:color w:val="000000" w:themeColor="text1"/>
              </w:rPr>
              <w:t xml:space="preserve"> mv.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1BD" w:rsidRPr="006D2F0A" w:rsidRDefault="008501BD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 xml:space="preserve">6.45.53 </w:t>
            </w:r>
          </w:p>
        </w:tc>
      </w:tr>
      <w:tr w:rsidR="006D2F0A" w:rsidRPr="006D2F0A" w:rsidTr="009F1EA6"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1BD" w:rsidRPr="006D2F0A" w:rsidRDefault="008501BD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>Myndighedsafgørelse, serviceloven, voksne</w:t>
            </w:r>
            <w:r w:rsidR="00D32005" w:rsidRPr="006D2F0A">
              <w:rPr>
                <w:color w:val="000000" w:themeColor="text1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1BD" w:rsidRPr="006D2F0A" w:rsidRDefault="008501BD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 xml:space="preserve">6.45.57 </w:t>
            </w:r>
          </w:p>
        </w:tc>
      </w:tr>
      <w:tr w:rsidR="006D2F0A" w:rsidRPr="006D2F0A" w:rsidTr="001963F7"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1BD" w:rsidRPr="006D2F0A" w:rsidRDefault="008501BD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 xml:space="preserve">Myndighedsafgørelse, </w:t>
            </w:r>
            <w:r w:rsidR="009009A6">
              <w:rPr>
                <w:color w:val="000000" w:themeColor="text1"/>
              </w:rPr>
              <w:t>ba</w:t>
            </w:r>
            <w:r w:rsidR="00917A48">
              <w:rPr>
                <w:color w:val="000000" w:themeColor="text1"/>
              </w:rPr>
              <w:t>r</w:t>
            </w:r>
            <w:r w:rsidR="009009A6">
              <w:rPr>
                <w:color w:val="000000" w:themeColor="text1"/>
              </w:rPr>
              <w:t xml:space="preserve">nets lov/ </w:t>
            </w:r>
            <w:r w:rsidRPr="006D2F0A">
              <w:rPr>
                <w:color w:val="000000" w:themeColor="text1"/>
              </w:rPr>
              <w:t>serviceloven, det specialiserede børneområde</w:t>
            </w:r>
            <w:r w:rsidR="00D32005" w:rsidRPr="006D2F0A">
              <w:rPr>
                <w:color w:val="000000" w:themeColor="text1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1BD" w:rsidRPr="006D2F0A" w:rsidRDefault="008501BD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>6.45.5</w:t>
            </w:r>
            <w:r w:rsidR="00D9495F" w:rsidRPr="006D2F0A">
              <w:rPr>
                <w:color w:val="000000" w:themeColor="text1"/>
              </w:rPr>
              <w:t>8</w:t>
            </w:r>
          </w:p>
        </w:tc>
      </w:tr>
      <w:tr w:rsidR="006D2F0A" w:rsidRPr="006D2F0A" w:rsidTr="001963F7"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ED6" w:rsidRPr="006D2F0A" w:rsidRDefault="008A3073" w:rsidP="00917A4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Tolkning ifm ø</w:t>
            </w:r>
            <w:r w:rsidR="00BF3ED6" w:rsidRPr="006D2F0A">
              <w:rPr>
                <w:color w:val="000000" w:themeColor="text1"/>
              </w:rPr>
              <w:t>vrig myndigheds</w:t>
            </w:r>
            <w:r>
              <w:rPr>
                <w:color w:val="000000" w:themeColor="text1"/>
              </w:rPr>
              <w:t xml:space="preserve">udøvelse, der ikke konteres på </w:t>
            </w:r>
            <w:r w:rsidRPr="006D2F0A">
              <w:rPr>
                <w:color w:val="000000" w:themeColor="text1"/>
              </w:rPr>
              <w:t>6.45.53</w:t>
            </w:r>
            <w:r w:rsidR="00917A48">
              <w:rPr>
                <w:color w:val="000000" w:themeColor="text1"/>
              </w:rPr>
              <w:t xml:space="preserve"> </w:t>
            </w:r>
            <w:r w:rsidRPr="006D2F0A">
              <w:rPr>
                <w:color w:val="000000" w:themeColor="text1"/>
              </w:rPr>
              <w:t>-</w:t>
            </w:r>
            <w:r w:rsidR="00917A48">
              <w:rPr>
                <w:color w:val="000000" w:themeColor="text1"/>
              </w:rPr>
              <w:t xml:space="preserve"> </w:t>
            </w:r>
            <w:r w:rsidRPr="006D2F0A">
              <w:rPr>
                <w:color w:val="000000" w:themeColor="text1"/>
              </w:rPr>
              <w:t>6.45.58.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ED6" w:rsidRPr="006D2F0A" w:rsidRDefault="00BF3ED6" w:rsidP="00917A48">
            <w:pPr>
              <w:spacing w:after="0" w:line="240" w:lineRule="auto"/>
              <w:rPr>
                <w:color w:val="000000" w:themeColor="text1"/>
              </w:rPr>
            </w:pPr>
            <w:r w:rsidRPr="006D2F0A">
              <w:rPr>
                <w:color w:val="000000" w:themeColor="text1"/>
              </w:rPr>
              <w:t xml:space="preserve">6.45.51, </w:t>
            </w:r>
            <w:proofErr w:type="spellStart"/>
            <w:r w:rsidRPr="006D2F0A">
              <w:rPr>
                <w:color w:val="000000" w:themeColor="text1"/>
              </w:rPr>
              <w:t>grp</w:t>
            </w:r>
            <w:proofErr w:type="spellEnd"/>
            <w:r w:rsidRPr="006D2F0A">
              <w:rPr>
                <w:color w:val="000000" w:themeColor="text1"/>
              </w:rPr>
              <w:t>. 001</w:t>
            </w:r>
          </w:p>
        </w:tc>
      </w:tr>
    </w:tbl>
    <w:p w:rsidR="009F1EA6" w:rsidRPr="006D2F0A" w:rsidRDefault="008501BD" w:rsidP="00917A48">
      <w:pPr>
        <w:pBdr>
          <w:bottom w:val="single" w:sz="6" w:space="1" w:color="auto"/>
        </w:pBdr>
        <w:spacing w:after="0" w:line="240" w:lineRule="auto"/>
        <w:ind w:left="567" w:hanging="567"/>
        <w:rPr>
          <w:color w:val="000000" w:themeColor="text1"/>
        </w:rPr>
      </w:pPr>
      <w:r w:rsidRPr="006D2F0A">
        <w:rPr>
          <w:color w:val="000000" w:themeColor="text1"/>
        </w:rPr>
        <w:br w:type="page"/>
      </w:r>
      <w:r w:rsidR="00576E44" w:rsidRPr="006D2F0A">
        <w:rPr>
          <w:color w:val="000000" w:themeColor="text1"/>
        </w:rPr>
        <w:lastRenderedPageBreak/>
        <w:t xml:space="preserve">Bilag 1. </w:t>
      </w:r>
      <w:r w:rsidR="009F1EA6" w:rsidRPr="006D2F0A">
        <w:rPr>
          <w:color w:val="000000" w:themeColor="text1"/>
        </w:rPr>
        <w:t>Uddrag fra konteringsreglerne, Budget- og regnskabssystem for kommuner</w:t>
      </w:r>
    </w:p>
    <w:p w:rsidR="009F1EA6" w:rsidRPr="006D2F0A" w:rsidRDefault="009F1EA6" w:rsidP="009F1EA6">
      <w:pPr>
        <w:rPr>
          <w:b/>
          <w:color w:val="000000" w:themeColor="text1"/>
        </w:rPr>
      </w:pPr>
      <w:r w:rsidRPr="006D2F0A">
        <w:rPr>
          <w:b/>
          <w:color w:val="000000" w:themeColor="text1"/>
        </w:rPr>
        <w:t xml:space="preserve">TILBUD TIL UDLÆNDINGE M.FL. (46) </w:t>
      </w:r>
    </w:p>
    <w:p w:rsidR="009F1EA6" w:rsidRPr="006D2F0A" w:rsidRDefault="009F1EA6" w:rsidP="009F1EA6">
      <w:pPr>
        <w:rPr>
          <w:b/>
          <w:color w:val="000000" w:themeColor="text1"/>
        </w:rPr>
      </w:pPr>
      <w:r w:rsidRPr="006D2F0A">
        <w:rPr>
          <w:b/>
          <w:color w:val="000000" w:themeColor="text1"/>
        </w:rPr>
        <w:t xml:space="preserve">5.46.60 Selvforsørgelses- og hjemrejseprogram eller introduktionsprogram og introduktionsforløb m.v.  Drift </w:t>
      </w:r>
    </w:p>
    <w:p w:rsidR="009F1EA6" w:rsidRPr="006D2F0A" w:rsidRDefault="009F1EA6" w:rsidP="000A63F1">
      <w:pPr>
        <w:ind w:left="851"/>
        <w:rPr>
          <w:color w:val="000000" w:themeColor="text1"/>
        </w:rPr>
      </w:pPr>
      <w:r w:rsidRPr="006D2F0A">
        <w:rPr>
          <w:color w:val="000000" w:themeColor="text1"/>
        </w:rPr>
        <w:t xml:space="preserve">001 Udgifter til tilbud til ydelsesmodtagere ifølge integrationslovens § 23 a og repatrieringslovens § 6 a </w:t>
      </w:r>
    </w:p>
    <w:p w:rsidR="009F1EA6" w:rsidRPr="006D2F0A" w:rsidRDefault="009F1EA6" w:rsidP="000A63F1">
      <w:pPr>
        <w:ind w:left="851"/>
        <w:rPr>
          <w:color w:val="000000" w:themeColor="text1"/>
        </w:rPr>
      </w:pPr>
      <w:r w:rsidRPr="006D2F0A">
        <w:rPr>
          <w:color w:val="000000" w:themeColor="text1"/>
        </w:rPr>
        <w:t xml:space="preserve">002 Udgifter til tilbud til ydelsesmodtagere ifølge integrationslovens § 23 b </w:t>
      </w:r>
    </w:p>
    <w:p w:rsidR="009F1EA6" w:rsidRPr="006D2F0A" w:rsidRDefault="009F1EA6" w:rsidP="000A63F1">
      <w:pPr>
        <w:ind w:left="851"/>
        <w:rPr>
          <w:color w:val="000000" w:themeColor="text1"/>
        </w:rPr>
      </w:pPr>
      <w:r w:rsidRPr="006D2F0A">
        <w:rPr>
          <w:color w:val="000000" w:themeColor="text1"/>
        </w:rPr>
        <w:t xml:space="preserve">003 Afløb af udgifter til løntilskud til ydelsesmodtagere ifølge integrationslovens § 23 c med 50 pct. refusion 004 Udgifter til mentor for ydelsesmodtagere ifølge integrationslovens § 23 d </w:t>
      </w:r>
    </w:p>
    <w:p w:rsidR="009F1EA6" w:rsidRPr="006D2F0A" w:rsidRDefault="009F1EA6" w:rsidP="000A63F1">
      <w:pPr>
        <w:ind w:left="851"/>
        <w:rPr>
          <w:color w:val="000000" w:themeColor="text1"/>
        </w:rPr>
      </w:pPr>
      <w:r w:rsidRPr="006D2F0A">
        <w:rPr>
          <w:color w:val="000000" w:themeColor="text1"/>
        </w:rPr>
        <w:t xml:space="preserve">005 Udgifter til tilbud til selvforsørgende ifølge integrationslovens § 23 a og repatrieringslovens § 6 a </w:t>
      </w:r>
    </w:p>
    <w:p w:rsidR="009F1EA6" w:rsidRPr="006D2F0A" w:rsidRDefault="009F1EA6" w:rsidP="000A63F1">
      <w:pPr>
        <w:ind w:left="851"/>
        <w:rPr>
          <w:color w:val="000000" w:themeColor="text1"/>
        </w:rPr>
      </w:pPr>
      <w:r w:rsidRPr="006D2F0A">
        <w:rPr>
          <w:color w:val="000000" w:themeColor="text1"/>
        </w:rPr>
        <w:t xml:space="preserve">006 Udgifter til tilbud til selvforsørgende ifølge integrationslovens § 23 b </w:t>
      </w:r>
    </w:p>
    <w:p w:rsidR="009F1EA6" w:rsidRPr="006D2F0A" w:rsidRDefault="009F1EA6" w:rsidP="000A63F1">
      <w:pPr>
        <w:ind w:left="851"/>
        <w:rPr>
          <w:color w:val="000000" w:themeColor="text1"/>
        </w:rPr>
      </w:pPr>
      <w:r w:rsidRPr="006D2F0A">
        <w:rPr>
          <w:color w:val="000000" w:themeColor="text1"/>
        </w:rPr>
        <w:t xml:space="preserve">007 Afløb af udgifter til løntilskud til selvforsørgende ifølge integrationslovens § 23 c med 50 pct. refusion 008 Udgifter til mentor for selvforsørgende ifølge integrationslovens § 23 d </w:t>
      </w:r>
    </w:p>
    <w:p w:rsidR="009F1EA6" w:rsidRPr="006D2F0A" w:rsidRDefault="009F1EA6" w:rsidP="000A63F1">
      <w:pPr>
        <w:ind w:left="851"/>
        <w:rPr>
          <w:color w:val="000000" w:themeColor="text1"/>
        </w:rPr>
      </w:pPr>
      <w:r w:rsidRPr="006D2F0A">
        <w:rPr>
          <w:color w:val="000000" w:themeColor="text1"/>
        </w:rPr>
        <w:t xml:space="preserve">009 Udgifter til opkvalificering og introduktion ved ansættelse ifølge integrationslovens § 24 a </w:t>
      </w:r>
    </w:p>
    <w:p w:rsidR="009F1EA6" w:rsidRPr="006D2F0A" w:rsidRDefault="009F1EA6" w:rsidP="000A63F1">
      <w:pPr>
        <w:ind w:left="851"/>
        <w:rPr>
          <w:color w:val="000000" w:themeColor="text1"/>
        </w:rPr>
      </w:pPr>
      <w:r w:rsidRPr="006D2F0A">
        <w:rPr>
          <w:color w:val="000000" w:themeColor="text1"/>
        </w:rPr>
        <w:t xml:space="preserve">010 Udgifter til danskuddannelse som en del af et selvforsørgelses- og hjemrejseprogram eller introduktionsprogram til ydelsesmodtagere ifølge integrationslovens § 21 </w:t>
      </w:r>
    </w:p>
    <w:p w:rsidR="009F1EA6" w:rsidRPr="006D2F0A" w:rsidRDefault="009F1EA6" w:rsidP="000A63F1">
      <w:pPr>
        <w:ind w:left="851"/>
        <w:rPr>
          <w:color w:val="000000" w:themeColor="text1"/>
        </w:rPr>
      </w:pPr>
      <w:r w:rsidRPr="006D2F0A">
        <w:rPr>
          <w:color w:val="000000" w:themeColor="text1"/>
        </w:rPr>
        <w:t xml:space="preserve">011 Udgifter til danskuddannelse som en del af et selvforsørgelses- og hjemrejseprogram eller introduktionsprogram til selvforsørgede ifølge integrationslovens § 21 </w:t>
      </w:r>
    </w:p>
    <w:p w:rsidR="009F1EA6" w:rsidRPr="006D2F0A" w:rsidRDefault="009F1EA6" w:rsidP="000A63F1">
      <w:pPr>
        <w:ind w:left="851"/>
        <w:rPr>
          <w:color w:val="000000" w:themeColor="text1"/>
        </w:rPr>
      </w:pPr>
      <w:r w:rsidRPr="006D2F0A">
        <w:rPr>
          <w:color w:val="000000" w:themeColor="text1"/>
        </w:rPr>
        <w:t xml:space="preserve">012 Udgifter til ordinær danskuddannelse som en del af et introduktionsforløb ifølge integrationslovens § 24 d </w:t>
      </w:r>
    </w:p>
    <w:p w:rsidR="009F1EA6" w:rsidRPr="006D2F0A" w:rsidRDefault="009F1EA6" w:rsidP="000A63F1">
      <w:pPr>
        <w:ind w:left="851"/>
        <w:rPr>
          <w:color w:val="000000" w:themeColor="text1"/>
        </w:rPr>
      </w:pPr>
      <w:r w:rsidRPr="006D2F0A">
        <w:rPr>
          <w:color w:val="000000" w:themeColor="text1"/>
        </w:rPr>
        <w:t xml:space="preserve">013 Udgifter til danskuddannelse for øvrige kursister ifølge lov om danskuddannelse til voksne udlændinge m.fl. </w:t>
      </w:r>
    </w:p>
    <w:p w:rsidR="009F1EA6" w:rsidRPr="006D2F0A" w:rsidRDefault="009F1EA6" w:rsidP="000A63F1">
      <w:pPr>
        <w:ind w:left="851"/>
        <w:rPr>
          <w:color w:val="000000" w:themeColor="text1"/>
        </w:rPr>
      </w:pPr>
      <w:r w:rsidRPr="006D2F0A">
        <w:rPr>
          <w:color w:val="000000" w:themeColor="text1"/>
        </w:rPr>
        <w:t>014 Tolkeudgifter</w:t>
      </w:r>
    </w:p>
    <w:p w:rsidR="009F1EA6" w:rsidRPr="006D2F0A" w:rsidRDefault="009F1EA6" w:rsidP="000A63F1">
      <w:pPr>
        <w:ind w:left="851"/>
        <w:rPr>
          <w:color w:val="000000" w:themeColor="text1"/>
        </w:rPr>
      </w:pPr>
      <w:r w:rsidRPr="006D2F0A">
        <w:rPr>
          <w:color w:val="000000" w:themeColor="text1"/>
        </w:rPr>
        <w:t xml:space="preserve">018 Udgifter til beskæftigelsesrettede tilbud som en del af et introduktionsforløb ifølge integrationslovens § 24 f </w:t>
      </w:r>
    </w:p>
    <w:p w:rsidR="009F1EA6" w:rsidRPr="006D2F0A" w:rsidRDefault="009F1EA6" w:rsidP="000A63F1">
      <w:pPr>
        <w:ind w:left="851"/>
        <w:rPr>
          <w:color w:val="000000" w:themeColor="text1"/>
        </w:rPr>
      </w:pPr>
      <w:r w:rsidRPr="006D2F0A">
        <w:rPr>
          <w:color w:val="000000" w:themeColor="text1"/>
        </w:rPr>
        <w:t xml:space="preserve">019 Udgifter til vejlederfunktion ifølge integrationslovens § 24 g 20 Udgifter til deltagelse i selvforsørgelses- og hjemrejseprogrammet, introduktionsprogrammet og forløb, jf. integrationslovens § 23f og 24a, stk. 2 </w:t>
      </w:r>
    </w:p>
    <w:p w:rsidR="00B56F87" w:rsidRPr="006D2F0A" w:rsidRDefault="00B56F87">
      <w:pPr>
        <w:rPr>
          <w:b/>
          <w:color w:val="000000" w:themeColor="text1"/>
        </w:rPr>
      </w:pPr>
      <w:r w:rsidRPr="006D2F0A">
        <w:rPr>
          <w:b/>
          <w:color w:val="000000" w:themeColor="text1"/>
        </w:rPr>
        <w:br w:type="page"/>
      </w:r>
    </w:p>
    <w:p w:rsidR="009F1EA6" w:rsidRPr="006D2F0A" w:rsidRDefault="009F1EA6" w:rsidP="009F1EA6">
      <w:pPr>
        <w:rPr>
          <w:b/>
          <w:color w:val="000000" w:themeColor="text1"/>
        </w:rPr>
      </w:pPr>
      <w:r w:rsidRPr="006D2F0A">
        <w:rPr>
          <w:b/>
          <w:color w:val="000000" w:themeColor="text1"/>
        </w:rPr>
        <w:lastRenderedPageBreak/>
        <w:t xml:space="preserve">5.46.60 Selvforsørgelses- og hjemrejseprogram eller introduktionsprogram og introduktionsforløb m.v. </w:t>
      </w:r>
    </w:p>
    <w:p w:rsidR="009F1EA6" w:rsidRPr="006D2F0A" w:rsidRDefault="009F1EA6" w:rsidP="009F1EA6">
      <w:pPr>
        <w:rPr>
          <w:color w:val="000000" w:themeColor="text1"/>
        </w:rPr>
      </w:pPr>
      <w:r w:rsidRPr="006D2F0A">
        <w:rPr>
          <w:color w:val="000000" w:themeColor="text1"/>
        </w:rPr>
        <w:t>På denne funktion registreres udgifter og indtægter vedrørende selvforsørgelses- og hjemrejseprogrammet eller introduktionsprogrammet og introduktionsforløbet for udlændinge omfattet af integrationsloven</w:t>
      </w:r>
      <w:r w:rsidR="00D32005" w:rsidRPr="006D2F0A">
        <w:rPr>
          <w:color w:val="000000" w:themeColor="text1"/>
        </w:rPr>
        <w:t>.</w:t>
      </w:r>
    </w:p>
    <w:p w:rsidR="009F1EA6" w:rsidRPr="006D2F0A" w:rsidRDefault="009F1EA6" w:rsidP="009F1EA6">
      <w:pPr>
        <w:ind w:left="1304" w:hanging="1304"/>
        <w:rPr>
          <w:b/>
          <w:color w:val="000000" w:themeColor="text1"/>
        </w:rPr>
      </w:pPr>
      <w:r w:rsidRPr="006D2F0A">
        <w:rPr>
          <w:b/>
          <w:color w:val="000000" w:themeColor="text1"/>
        </w:rPr>
        <w:t xml:space="preserve">014 </w:t>
      </w:r>
      <w:r w:rsidRPr="006D2F0A">
        <w:rPr>
          <w:b/>
          <w:color w:val="000000" w:themeColor="text1"/>
        </w:rPr>
        <w:tab/>
        <w:t xml:space="preserve">Tolkeudgifter: </w:t>
      </w:r>
    </w:p>
    <w:p w:rsidR="009F1EA6" w:rsidRPr="006D2F0A" w:rsidRDefault="009F1EA6" w:rsidP="009F1EA6">
      <w:pPr>
        <w:ind w:left="1304"/>
        <w:rPr>
          <w:color w:val="000000" w:themeColor="text1"/>
        </w:rPr>
      </w:pPr>
      <w:r w:rsidRPr="006D2F0A">
        <w:rPr>
          <w:color w:val="000000" w:themeColor="text1"/>
        </w:rPr>
        <w:t>Her registreres tolkeudgifter i forbindelse med den generelle vejledningsforpligtelse vedrørende personer omfattet af integrationsloven. Udgifter til tolkebistand, der er et nødvendigt led i en i øvrigt refusionsberettigende foranstaltning konteres derimod sammen med den pågældende foranstaltning.</w:t>
      </w:r>
    </w:p>
    <w:p w:rsidR="009F1EA6" w:rsidRPr="006D2F0A" w:rsidRDefault="009F1EA6" w:rsidP="009F1EA6">
      <w:pPr>
        <w:pBdr>
          <w:bottom w:val="single" w:sz="6" w:space="1" w:color="auto"/>
        </w:pBdr>
        <w:rPr>
          <w:color w:val="000000" w:themeColor="text1"/>
        </w:rPr>
      </w:pPr>
    </w:p>
    <w:p w:rsidR="00FE4105" w:rsidRPr="006D2F0A" w:rsidRDefault="00FE4105" w:rsidP="001963F7">
      <w:pPr>
        <w:rPr>
          <w:b/>
          <w:color w:val="000000" w:themeColor="text1"/>
        </w:rPr>
      </w:pPr>
      <w:r w:rsidRPr="006D2F0A">
        <w:rPr>
          <w:b/>
          <w:color w:val="000000" w:themeColor="text1"/>
        </w:rPr>
        <w:t>6.45.51 Sekretariat og forvaltninger</w:t>
      </w:r>
    </w:p>
    <w:p w:rsidR="00C0645F" w:rsidRPr="006D2F0A" w:rsidRDefault="00C0645F" w:rsidP="001963F7">
      <w:pPr>
        <w:rPr>
          <w:color w:val="000000" w:themeColor="text1"/>
        </w:rPr>
      </w:pPr>
      <w:r w:rsidRPr="006D2F0A">
        <w:rPr>
          <w:color w:val="000000" w:themeColor="text1"/>
        </w:rPr>
        <w:t>På denne funktion registreres udgifter og indtægter vedrørende kommunalbestyrelsens sekretariat, borgmesterkontor, kommunaldirektørens kontor, forskellige stabsfunktioner samt udgifter og indtægter vedrørende kommunens centrale administration……</w:t>
      </w:r>
    </w:p>
    <w:p w:rsidR="00C0645F" w:rsidRPr="006D2F0A" w:rsidRDefault="00C0645F" w:rsidP="00C0645F">
      <w:pPr>
        <w:rPr>
          <w:color w:val="000000" w:themeColor="text1"/>
        </w:rPr>
      </w:pPr>
      <w:r w:rsidRPr="006D2F0A">
        <w:rPr>
          <w:color w:val="000000" w:themeColor="text1"/>
        </w:rPr>
        <w:t>Udgifter til den centrale administration skal konteres særskilt på funktionerne 6.45.53-6.45.58, såfremt administrationen vedrører disse funktioner.</w:t>
      </w:r>
    </w:p>
    <w:p w:rsidR="00FE4105" w:rsidRPr="006D2F0A" w:rsidRDefault="00C0645F" w:rsidP="001963F7">
      <w:pPr>
        <w:ind w:left="1304" w:hanging="1304"/>
        <w:rPr>
          <w:b/>
          <w:color w:val="000000" w:themeColor="text1"/>
        </w:rPr>
      </w:pPr>
      <w:r w:rsidRPr="006D2F0A">
        <w:rPr>
          <w:b/>
          <w:color w:val="000000" w:themeColor="text1"/>
        </w:rPr>
        <w:t xml:space="preserve"> </w:t>
      </w:r>
      <w:r w:rsidR="00FE4105" w:rsidRPr="006D2F0A">
        <w:rPr>
          <w:b/>
          <w:color w:val="000000" w:themeColor="text1"/>
        </w:rPr>
        <w:t>001</w:t>
      </w:r>
      <w:r w:rsidR="00FE4105" w:rsidRPr="006D2F0A">
        <w:rPr>
          <w:b/>
          <w:color w:val="000000" w:themeColor="text1"/>
        </w:rPr>
        <w:tab/>
        <w:t>Myndighedsudøvelse</w:t>
      </w:r>
    </w:p>
    <w:p w:rsidR="00FE4105" w:rsidRPr="006D2F0A" w:rsidRDefault="00FE4105" w:rsidP="001963F7">
      <w:pPr>
        <w:tabs>
          <w:tab w:val="left" w:pos="1276"/>
        </w:tabs>
        <w:ind w:left="1276"/>
        <w:rPr>
          <w:color w:val="000000" w:themeColor="text1"/>
        </w:rPr>
      </w:pPr>
      <w:r w:rsidRPr="006D2F0A">
        <w:rPr>
          <w:color w:val="000000" w:themeColor="text1"/>
        </w:rPr>
        <w:t>Her registreres udgifter til myndighedsudøvelse. Udgifter til visse myndighedsopgaver skal dog konteres særskilt på funktionerne 6.45.53-6.45.58.</w:t>
      </w:r>
    </w:p>
    <w:p w:rsidR="00FE4105" w:rsidRPr="006D2F0A" w:rsidRDefault="00FE4105" w:rsidP="001963F7">
      <w:pPr>
        <w:tabs>
          <w:tab w:val="left" w:pos="1276"/>
        </w:tabs>
        <w:ind w:left="1276"/>
        <w:rPr>
          <w:color w:val="000000" w:themeColor="text1"/>
        </w:rPr>
      </w:pPr>
      <w:r w:rsidRPr="006D2F0A">
        <w:rPr>
          <w:color w:val="000000" w:themeColor="text1"/>
        </w:rPr>
        <w:t>Myndighedsudøvelse er virksomhed, hvor der med hjemmel i en specifik lov træffes afgørelser med direkte eller indirekte konsekvenser for borgere eller virksomheder. </w:t>
      </w:r>
    </w:p>
    <w:p w:rsidR="00FE4105" w:rsidRPr="006D2F0A" w:rsidRDefault="00FE4105" w:rsidP="00FE4105">
      <w:pPr>
        <w:pBdr>
          <w:bottom w:val="single" w:sz="6" w:space="1" w:color="auto"/>
        </w:pBdr>
        <w:rPr>
          <w:color w:val="000000" w:themeColor="text1"/>
        </w:rPr>
      </w:pPr>
    </w:p>
    <w:p w:rsidR="009F1EA6" w:rsidRPr="006D2F0A" w:rsidRDefault="009F1EA6" w:rsidP="009F1EA6">
      <w:pPr>
        <w:rPr>
          <w:b/>
          <w:color w:val="000000" w:themeColor="text1"/>
        </w:rPr>
      </w:pPr>
      <w:r w:rsidRPr="006D2F0A">
        <w:rPr>
          <w:b/>
          <w:color w:val="000000" w:themeColor="text1"/>
        </w:rPr>
        <w:t xml:space="preserve">6.45.53 Jobcentre </w:t>
      </w:r>
    </w:p>
    <w:p w:rsidR="009F1EA6" w:rsidRPr="006D2F0A" w:rsidRDefault="009F1EA6" w:rsidP="009F1EA6">
      <w:pPr>
        <w:rPr>
          <w:color w:val="000000" w:themeColor="text1"/>
        </w:rPr>
      </w:pPr>
      <w:r w:rsidRPr="006D2F0A">
        <w:rPr>
          <w:color w:val="000000" w:themeColor="text1"/>
        </w:rPr>
        <w:t xml:space="preserve">Her registreres udgifter og indtægter vedr. administration af jobcentre, herunder administrative udgifter til andre aktører. Det gælder bl.a. udgifter til administrative medarbejdere. Derudover registreres udgifter og indtægter i forbindelse med fleksjobambassadører på denne funktion. </w:t>
      </w:r>
    </w:p>
    <w:p w:rsidR="009F1EA6" w:rsidRPr="006D2F0A" w:rsidRDefault="009F1EA6" w:rsidP="009F1EA6">
      <w:pPr>
        <w:rPr>
          <w:color w:val="000000" w:themeColor="text1"/>
        </w:rPr>
      </w:pPr>
      <w:r w:rsidRPr="006D2F0A">
        <w:rPr>
          <w:color w:val="000000" w:themeColor="text1"/>
        </w:rPr>
        <w:t xml:space="preserve">Udgifter til tolke og lægeerklæringer i forbindelse med myndighedsafgørelser på området registreres på funktionen. </w:t>
      </w:r>
    </w:p>
    <w:p w:rsidR="009F1EA6" w:rsidRPr="006D2F0A" w:rsidRDefault="009F1EA6" w:rsidP="009F1EA6">
      <w:pPr>
        <w:pBdr>
          <w:bottom w:val="single" w:sz="6" w:space="1" w:color="auto"/>
        </w:pBdr>
        <w:rPr>
          <w:color w:val="000000" w:themeColor="text1"/>
        </w:rPr>
      </w:pPr>
      <w:r w:rsidRPr="006D2F0A">
        <w:rPr>
          <w:color w:val="000000" w:themeColor="text1"/>
        </w:rPr>
        <w:t>Ligeledes registreres betalinger vedrørende rådgivning og vurdering fra den kliniske funktion i regionen, herunder speciallægeattester, i forbindelse med sager om ressourceforløb, fleksjob og førtidspension, på funktionen. Øvrige indtægter og udgifter vedr. jobcentre registreres på de relevante funktioner på hovedfunktion 5.68.</w:t>
      </w:r>
    </w:p>
    <w:p w:rsidR="009F1EA6" w:rsidRPr="006D2F0A" w:rsidRDefault="009F1EA6" w:rsidP="009F1EA6">
      <w:pPr>
        <w:rPr>
          <w:color w:val="000000" w:themeColor="text1"/>
        </w:rPr>
      </w:pPr>
    </w:p>
    <w:p w:rsidR="009F1EA6" w:rsidRPr="006D2F0A" w:rsidRDefault="009F1EA6" w:rsidP="009F1EA6">
      <w:pPr>
        <w:rPr>
          <w:b/>
          <w:color w:val="000000" w:themeColor="text1"/>
        </w:rPr>
      </w:pPr>
      <w:r w:rsidRPr="006D2F0A">
        <w:rPr>
          <w:b/>
          <w:color w:val="000000" w:themeColor="text1"/>
        </w:rPr>
        <w:t xml:space="preserve">6.45.57 Voksen-, ældre- og handicapområdet </w:t>
      </w:r>
    </w:p>
    <w:p w:rsidR="009F1EA6" w:rsidRPr="006D2F0A" w:rsidRDefault="009F1EA6" w:rsidP="009F1EA6">
      <w:pPr>
        <w:rPr>
          <w:color w:val="000000" w:themeColor="text1"/>
        </w:rPr>
      </w:pPr>
      <w:r w:rsidRPr="006D2F0A">
        <w:rPr>
          <w:color w:val="000000" w:themeColor="text1"/>
        </w:rPr>
        <w:t xml:space="preserve">Her registreres udgifter og indtægter vedr. administration af voksen-, ældre og handicapområdet. Det gælder bl.a. udgifter til administrative medarbejdere samt udgifter til tilsyn med plejeboliger, plejehjem m.v., jf. servicelovens § 151 og udgifter til det tilsyn, som Styrelsen for Patientsikkerhed, udfører efter </w:t>
      </w:r>
      <w:r w:rsidRPr="006D2F0A">
        <w:rPr>
          <w:color w:val="000000" w:themeColor="text1"/>
        </w:rPr>
        <w:lastRenderedPageBreak/>
        <w:t xml:space="preserve">sundhedslovens § 213 med bl.a. plejeboliger, plejehjem mv. Udgifter til Socialtilsynets tilsyn med botilbud m.v. (det takstfinansierede område) registreres på det relevante tilbud på hovedkonto 5. </w:t>
      </w:r>
    </w:p>
    <w:p w:rsidR="009F1EA6" w:rsidRPr="006D2F0A" w:rsidRDefault="009F1EA6" w:rsidP="009F1EA6">
      <w:pPr>
        <w:pBdr>
          <w:bottom w:val="single" w:sz="6" w:space="1" w:color="auto"/>
        </w:pBdr>
        <w:rPr>
          <w:color w:val="000000" w:themeColor="text1"/>
        </w:rPr>
      </w:pPr>
      <w:r w:rsidRPr="006D2F0A">
        <w:rPr>
          <w:color w:val="000000" w:themeColor="text1"/>
        </w:rPr>
        <w:t>Udgifter til tolke og lægeerklæringer i forbindelse med myndighedsafgørelser på området registreres på funktionen.</w:t>
      </w:r>
    </w:p>
    <w:p w:rsidR="009F1EA6" w:rsidRPr="006D2F0A" w:rsidRDefault="009F1EA6" w:rsidP="009F1EA6">
      <w:pPr>
        <w:rPr>
          <w:b/>
          <w:color w:val="000000" w:themeColor="text1"/>
        </w:rPr>
      </w:pPr>
      <w:r w:rsidRPr="006D2F0A">
        <w:rPr>
          <w:b/>
          <w:color w:val="000000" w:themeColor="text1"/>
        </w:rPr>
        <w:t xml:space="preserve">6.45.58 Det specialiserede børneområde </w:t>
      </w:r>
    </w:p>
    <w:p w:rsidR="009F1EA6" w:rsidRPr="006D2F0A" w:rsidRDefault="009F1EA6" w:rsidP="009F1EA6">
      <w:pPr>
        <w:rPr>
          <w:color w:val="000000" w:themeColor="text1"/>
        </w:rPr>
      </w:pPr>
      <w:r w:rsidRPr="006D2F0A">
        <w:rPr>
          <w:color w:val="000000" w:themeColor="text1"/>
        </w:rPr>
        <w:t xml:space="preserve">Her registreres udgifter og indtægter vedr. administration af det specialiserede børneområde. Det gælder bl.a. udgifter til administrative medarbejdere. </w:t>
      </w:r>
    </w:p>
    <w:p w:rsidR="009F1EA6" w:rsidRPr="006D2F0A" w:rsidRDefault="009F1EA6" w:rsidP="009F1EA6">
      <w:pPr>
        <w:pBdr>
          <w:bottom w:val="single" w:sz="6" w:space="1" w:color="auto"/>
        </w:pBdr>
        <w:rPr>
          <w:color w:val="000000" w:themeColor="text1"/>
        </w:rPr>
      </w:pPr>
      <w:r w:rsidRPr="006D2F0A">
        <w:rPr>
          <w:color w:val="000000" w:themeColor="text1"/>
        </w:rPr>
        <w:t>Udgifter til tolke og lægeerklæringer i forbindelse med myndighedsafgørelser på området registreres på funktionen.</w:t>
      </w:r>
    </w:p>
    <w:p w:rsidR="009F1EA6" w:rsidRPr="006D2F0A" w:rsidRDefault="009F1EA6" w:rsidP="009F1EA6">
      <w:pPr>
        <w:rPr>
          <w:color w:val="000000" w:themeColor="text1"/>
        </w:rPr>
      </w:pPr>
    </w:p>
    <w:p w:rsidR="008501BD" w:rsidRPr="006D2F0A" w:rsidRDefault="008501BD">
      <w:pPr>
        <w:rPr>
          <w:color w:val="000000" w:themeColor="text1"/>
        </w:rPr>
      </w:pPr>
    </w:p>
    <w:sectPr w:rsidR="008501BD" w:rsidRPr="006D2F0A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C8" w:rsidRDefault="004B51C8" w:rsidP="00B56F87">
      <w:pPr>
        <w:spacing w:after="0" w:line="240" w:lineRule="auto"/>
      </w:pPr>
      <w:r>
        <w:separator/>
      </w:r>
    </w:p>
  </w:endnote>
  <w:endnote w:type="continuationSeparator" w:id="0">
    <w:p w:rsidR="004B51C8" w:rsidRDefault="004B51C8" w:rsidP="00B5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9064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56F87" w:rsidRDefault="00B56F87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0E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0E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6F87" w:rsidRDefault="00B56F8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C8" w:rsidRDefault="004B51C8" w:rsidP="00B56F87">
      <w:pPr>
        <w:spacing w:after="0" w:line="240" w:lineRule="auto"/>
      </w:pPr>
      <w:r>
        <w:separator/>
      </w:r>
    </w:p>
  </w:footnote>
  <w:footnote w:type="continuationSeparator" w:id="0">
    <w:p w:rsidR="004B51C8" w:rsidRDefault="004B51C8" w:rsidP="00B56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F3E"/>
    <w:multiLevelType w:val="multilevel"/>
    <w:tmpl w:val="2F70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F389A"/>
    <w:multiLevelType w:val="hybridMultilevel"/>
    <w:tmpl w:val="5150E930"/>
    <w:lvl w:ilvl="0" w:tplc="87F2F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E3A0C"/>
    <w:multiLevelType w:val="multilevel"/>
    <w:tmpl w:val="5BC4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AE"/>
    <w:rsid w:val="00035CA3"/>
    <w:rsid w:val="00040FEC"/>
    <w:rsid w:val="00080056"/>
    <w:rsid w:val="000A63F1"/>
    <w:rsid w:val="001963F7"/>
    <w:rsid w:val="001F3B71"/>
    <w:rsid w:val="00280E3C"/>
    <w:rsid w:val="00466FDD"/>
    <w:rsid w:val="004B51C8"/>
    <w:rsid w:val="004E6235"/>
    <w:rsid w:val="005731FF"/>
    <w:rsid w:val="00576E44"/>
    <w:rsid w:val="0059150C"/>
    <w:rsid w:val="00604E4B"/>
    <w:rsid w:val="00661A9D"/>
    <w:rsid w:val="006C46CF"/>
    <w:rsid w:val="006D2F0A"/>
    <w:rsid w:val="00782343"/>
    <w:rsid w:val="007934B0"/>
    <w:rsid w:val="007F097C"/>
    <w:rsid w:val="008501BD"/>
    <w:rsid w:val="008A3073"/>
    <w:rsid w:val="009009A6"/>
    <w:rsid w:val="00917A48"/>
    <w:rsid w:val="00932D01"/>
    <w:rsid w:val="009F1EA6"/>
    <w:rsid w:val="00A47867"/>
    <w:rsid w:val="00A93FB4"/>
    <w:rsid w:val="00AC65AE"/>
    <w:rsid w:val="00B41AB1"/>
    <w:rsid w:val="00B444A8"/>
    <w:rsid w:val="00B56F87"/>
    <w:rsid w:val="00BE6C3A"/>
    <w:rsid w:val="00BF3ED6"/>
    <w:rsid w:val="00C0645F"/>
    <w:rsid w:val="00D32005"/>
    <w:rsid w:val="00D9495F"/>
    <w:rsid w:val="00E02768"/>
    <w:rsid w:val="00E05DAE"/>
    <w:rsid w:val="00E27F99"/>
    <w:rsid w:val="00E324D4"/>
    <w:rsid w:val="00E94E16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EBC8F-61E7-4496-96D0-E2A9D803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2D0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56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6F87"/>
  </w:style>
  <w:style w:type="paragraph" w:styleId="Sidefod">
    <w:name w:val="footer"/>
    <w:basedOn w:val="Normal"/>
    <w:link w:val="SidefodTegn"/>
    <w:uiPriority w:val="99"/>
    <w:unhideWhenUsed/>
    <w:rsid w:val="00B56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6F87"/>
  </w:style>
  <w:style w:type="character" w:styleId="Kommentarhenvisning">
    <w:name w:val="annotation reference"/>
    <w:basedOn w:val="Standardskrifttypeiafsnit"/>
    <w:uiPriority w:val="99"/>
    <w:semiHidden/>
    <w:unhideWhenUsed/>
    <w:rsid w:val="00E0276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276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276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276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276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2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2768"/>
    <w:rPr>
      <w:rFonts w:ascii="Segoe UI" w:hAnsi="Segoe UI" w:cs="Segoe UI"/>
      <w:sz w:val="18"/>
      <w:szCs w:val="18"/>
    </w:rPr>
  </w:style>
  <w:style w:type="character" w:customStyle="1" w:styleId="bi">
    <w:name w:val="bi"/>
    <w:basedOn w:val="Standardskrifttypeiafsnit"/>
    <w:rsid w:val="00FE4105"/>
  </w:style>
  <w:style w:type="character" w:customStyle="1" w:styleId="q7">
    <w:name w:val="q7"/>
    <w:basedOn w:val="Standardskrifttypeiafsnit"/>
    <w:rsid w:val="00FE4105"/>
  </w:style>
  <w:style w:type="character" w:customStyle="1" w:styleId="q5">
    <w:name w:val="q5"/>
    <w:basedOn w:val="Standardskrifttypeiafsnit"/>
    <w:rsid w:val="00C0645F"/>
  </w:style>
  <w:style w:type="character" w:styleId="Hyperlink">
    <w:name w:val="Hyperlink"/>
    <w:basedOn w:val="Standardskrifttypeiafsnit"/>
    <w:uiPriority w:val="99"/>
    <w:semiHidden/>
    <w:unhideWhenUsed/>
    <w:rsid w:val="00C06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8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1021</Words>
  <Characters>7161</Characters>
  <Application>Microsoft Office Word</Application>
  <DocSecurity>0</DocSecurity>
  <Lines>135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Kyvsgaard</dc:creator>
  <cp:keywords/>
  <dc:description/>
  <cp:lastModifiedBy>Niels Lund-Andersen</cp:lastModifiedBy>
  <cp:revision>5</cp:revision>
  <dcterms:created xsi:type="dcterms:W3CDTF">2024-01-02T08:54:00Z</dcterms:created>
  <dcterms:modified xsi:type="dcterms:W3CDTF">2024-01-22T12:49:00Z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kFormat">
    <vt:i4>0</vt:i4>
  </property>
</Properties>
</file>